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r w:rsidDel="00000000" w:rsidR="00000000" w:rsidRPr="00000000">
        <w:rPr>
          <w:rtl w:val="0"/>
        </w:rPr>
        <w:t xml:space="preserve">STANDARD OPERATING PROCEDURE — Acetone Permeation Test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Material/Company: Monneah’s Engineered Materials</w:t>
      </w:r>
    </w:p>
    <w:p w:rsidR="00000000" w:rsidDel="00000000" w:rsidP="00000000" w:rsidRDefault="00000000" w:rsidRPr="00000000" w14:paraId="00000004">
      <w:pPr>
        <w:rPr>
          <w:i w:val="1"/>
        </w:rPr>
      </w:pPr>
      <w:r w:rsidDel="00000000" w:rsidR="00000000" w:rsidRPr="00000000">
        <w:rPr>
          <w:rtl w:val="0"/>
        </w:rPr>
        <w:t xml:space="preserve">Date SOP written: 06/28/24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SOP Prepared by: Aalliyeh Clinton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Principal Investigator: Steve Farias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rPr/>
      </w:pPr>
      <w:r w:rsidDel="00000000" w:rsidR="00000000" w:rsidRPr="00000000">
        <w:rPr>
          <w:rtl w:val="0"/>
        </w:rPr>
        <w:t xml:space="preserve">PROCESS ABSTRACT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This procedure evaluates the chemical permeation resistance of textile specimens when exposed to acetone (liquid). Testing follows ASTM F903-18 procedures A/B (no hydrostatic pressure). Specimens (cotton and Tyvek) are cut to 5 cm × 5 cm and exposed to acetone to determine visible penetration/breakthrough time and permeation rate. Results inform the suitability of textiles for protective clothing against acetone exposure.</w:t>
      </w:r>
    </w:p>
    <w:p w:rsidR="00000000" w:rsidDel="00000000" w:rsidP="00000000" w:rsidRDefault="00000000" w:rsidRPr="00000000" w14:paraId="0000000A">
      <w:pPr>
        <w:pStyle w:val="Heading2"/>
        <w:rPr/>
      </w:pPr>
      <w:r w:rsidDel="00000000" w:rsidR="00000000" w:rsidRPr="00000000">
        <w:rPr>
          <w:rtl w:val="0"/>
        </w:rPr>
        <w:t xml:space="preserve">POTENTIAL HAZARDS — ACETONE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- Acute health hazards: Eye and skin irritation; inhalation may cause dizziness, headache, narcosis.</w:t>
        <w:br w:type="textWrapping"/>
        <w:t xml:space="preserve">- Flammability: Highly flammable liquid and vapor — flash point −20 °C (approx). Use away from ignition sources.</w:t>
        <w:br w:type="textWrapping"/>
        <w:t xml:space="preserve">- Chemical reactivity: Generally stable but may react with strong oxidizers.</w:t>
      </w:r>
    </w:p>
    <w:p w:rsidR="00000000" w:rsidDel="00000000" w:rsidP="00000000" w:rsidRDefault="00000000" w:rsidRPr="00000000" w14:paraId="0000000C">
      <w:pPr>
        <w:pStyle w:val="Heading2"/>
        <w:rPr/>
      </w:pPr>
      <w:r w:rsidDel="00000000" w:rsidR="00000000" w:rsidRPr="00000000">
        <w:rPr>
          <w:rtl w:val="0"/>
        </w:rPr>
        <w:t xml:space="preserve">REQUIRED PPE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- Chemically resistant gloves (butyl or nitrile with verified permeation resistance to acetone).</w:t>
        <w:br w:type="textWrapping"/>
        <w:t xml:space="preserve">- Chemical-resistant lab coat (impervious/fluoropolymer or coated lab coat; do not use untreated cotton).</w:t>
        <w:br w:type="textWrapping"/>
        <w:t xml:space="preserve">- Eye protection (safety goggles or face shield).</w:t>
        <w:br w:type="textWrapping"/>
        <w:t xml:space="preserve">- Work in a fume hood; consider a respirator if the ventilation is inadequate.</w:t>
      </w:r>
    </w:p>
    <w:p w:rsidR="00000000" w:rsidDel="00000000" w:rsidP="00000000" w:rsidRDefault="00000000" w:rsidRPr="00000000" w14:paraId="0000000E">
      <w:pPr>
        <w:pStyle w:val="Heading2"/>
        <w:rPr/>
      </w:pPr>
      <w:r w:rsidDel="00000000" w:rsidR="00000000" w:rsidRPr="00000000">
        <w:rPr>
          <w:rtl w:val="0"/>
        </w:rPr>
        <w:t xml:space="preserve">ENGINEERING/VENTILATION CONTROLS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- All tests performed inside the MTI FH-36 fume hood.</w:t>
        <w:br w:type="textWrapping"/>
        <w:t xml:space="preserve">- Grounding and bonding for transfer to avoid static ignition.</w:t>
        <w:br w:type="textWrapping"/>
        <w:t xml:space="preserve">- No open flames, hot surfaces, or spark-producing equipment nearby.</w:t>
      </w:r>
    </w:p>
    <w:p w:rsidR="00000000" w:rsidDel="00000000" w:rsidP="00000000" w:rsidRDefault="00000000" w:rsidRPr="00000000" w14:paraId="00000010">
      <w:pPr>
        <w:pStyle w:val="Heading2"/>
        <w:rPr/>
      </w:pPr>
      <w:r w:rsidDel="00000000" w:rsidR="00000000" w:rsidRPr="00000000">
        <w:rPr>
          <w:rtl w:val="0"/>
        </w:rPr>
        <w:t xml:space="preserve">STORAGE &amp; HANDLING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- Store acetone in an approved flammable cabinet. Keep the container tightly closed.</w:t>
        <w:br w:type="textWrapping"/>
        <w:t xml:space="preserve">- Transport in secondary containment. Use small volumes for testing.</w:t>
      </w:r>
    </w:p>
    <w:p w:rsidR="00000000" w:rsidDel="00000000" w:rsidP="00000000" w:rsidRDefault="00000000" w:rsidRPr="00000000" w14:paraId="00000012">
      <w:pPr>
        <w:pStyle w:val="Heading2"/>
        <w:rPr/>
      </w:pPr>
      <w:r w:rsidDel="00000000" w:rsidR="00000000" w:rsidRPr="00000000">
        <w:rPr>
          <w:rtl w:val="0"/>
        </w:rPr>
        <w:t xml:space="preserve">SPILL AND INCIDENT PROCEDURES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Follow flammable-liquid spill response: isolate the area, use absorbent pads rated for solvents, ventilate, and dispose of materials in hazardous waste containers.</w:t>
      </w:r>
    </w:p>
    <w:p w:rsidR="00000000" w:rsidDel="00000000" w:rsidP="00000000" w:rsidRDefault="00000000" w:rsidRPr="00000000" w14:paraId="00000014">
      <w:pPr>
        <w:pStyle w:val="Heading2"/>
        <w:rPr/>
      </w:pPr>
      <w:r w:rsidDel="00000000" w:rsidR="00000000" w:rsidRPr="00000000">
        <w:rPr>
          <w:rtl w:val="0"/>
        </w:rPr>
        <w:t xml:space="preserve">WASTE DISPOSAL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Collect acetone-contaminated materials in labeled hazardous waste containers. Do not neutralize; follow institutional solvent disposal procedures and local regulations.</w:t>
      </w:r>
    </w:p>
    <w:p w:rsidR="00000000" w:rsidDel="00000000" w:rsidP="00000000" w:rsidRDefault="00000000" w:rsidRPr="00000000" w14:paraId="00000016">
      <w:pPr>
        <w:pStyle w:val="Heading2"/>
        <w:rPr/>
      </w:pPr>
      <w:r w:rsidDel="00000000" w:rsidR="00000000" w:rsidRPr="00000000">
        <w:rPr>
          <w:rtl w:val="0"/>
        </w:rPr>
        <w:t xml:space="preserve">DETAILED PROTOCOL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1. Place the specimen over the beaker opening (or test cell), seal edges tightly to prevent leakage.</w:t>
        <w:br w:type="textWrapping"/>
        <w:t xml:space="preserve">2. Pour acetone into the beaker so the specimen is in continuous contact. Start timer.</w:t>
        <w:br w:type="textWrapping"/>
        <w:t xml:space="preserve">3. Observe continuously for visible penetration through the specimen during a 10-minute exposure.</w:t>
        <w:br w:type="textWrapping"/>
        <w:t xml:space="preserve">4. Collect permeate into the collection medium for quantitative analysis (if available). Analyzed by GC-MS/HPLC.</w:t>
        <w:br w:type="textWrapping"/>
        <w:t xml:space="preserve">5. Document any material degradation, discoloration, holes, or change in mechanical integrity.</w:t>
      </w:r>
    </w:p>
    <w:p w:rsidR="00000000" w:rsidDel="00000000" w:rsidP="00000000" w:rsidRDefault="00000000" w:rsidRPr="00000000" w14:paraId="00000018">
      <w:pPr>
        <w:pStyle w:val="Heading2"/>
        <w:rPr/>
      </w:pPr>
      <w:r w:rsidDel="00000000" w:rsidR="00000000" w:rsidRPr="00000000">
        <w:rPr>
          <w:rtl w:val="0"/>
        </w:rPr>
        <w:t xml:space="preserve">RESULTS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1. Cotton — acetone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   - Observation: Visible reaction/staining and rapid penetration.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   - Breakthrough time: 46 seconds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   - Measured permeation rate: &gt; 100 µg/cm²/min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   - Interpretation: Rapid breakthrough; not protective against acetone.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2. Tyvek 400 — isopropanol 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   - Breakthrough time: 1 minute 10 seconds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   - Measured permeation rate: &gt; 100 µg/cm²/min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   - Note: Result shown with isopropanol; acetone test to be repeated for direct comparison.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Attached test evidence images: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/>
        <w:drawing>
          <wp:inline distB="114300" distT="114300" distL="114300" distR="114300">
            <wp:extent cx="4248150" cy="6096000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6096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2"/>
        <w:rPr/>
      </w:pPr>
      <w:r w:rsidDel="00000000" w:rsidR="00000000" w:rsidRPr="00000000">
        <w:rPr>
          <w:rtl w:val="0"/>
        </w:rPr>
        <w:t xml:space="preserve">ADDITIONAL OBSERVATIONS &amp; ANALYSIS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• Protection is only surface-level and wears off over time.</w:t>
        <w:br w:type="textWrapping"/>
        <w:t xml:space="preserve">• Chemicals can still seep through, particularly with longer exposure durations.</w:t>
        <w:br w:type="textWrapping"/>
        <w:t xml:space="preserve">• The tested fabrics are not designed for durability or advanced safety and show clear limitations in maintaining chemical resistance after repeated use or washing.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Header">
    <w:name w:val="header"/>
    <w:basedOn w:val="Normal"/>
    <w:link w:val="Head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1"/>
    <w:qFormat w:val="1"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BodyText">
    <w:name w:val="Body Text"/>
    <w:basedOn w:val="Normal"/>
    <w:link w:val="BodyTextChar"/>
    <w:uiPriority w:val="99"/>
    <w:unhideWhenUsed w:val="1"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 w:val="1"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ListBullet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Bullet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Bullet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Number">
    <w:name w:val="List Number"/>
    <w:basedOn w:val="Normal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ListNumber2">
    <w:name w:val="List Number 2"/>
    <w:basedOn w:val="Normal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ListNumber3">
    <w:name w:val="List Number 3"/>
    <w:basedOn w:val="Normal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ListContinue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Continue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Continue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MacroText">
    <w:name w:val="macro"/>
    <w:link w:val="MacroText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C693F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 w:val="1"/>
      <w:iCs w:val="1"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 w:val="1"/>
    <w:rsid w:val="00FC693F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FC693F"/>
    <w:rPr>
      <w:i w:val="1"/>
      <w:iCs w:val="1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0l2irG88OJR1p7H8gzFJZbuCfg==">CgMxLjA4AHIhMXJPb3d5c19iVFN3R0RLUjJpZVNkZE1XTlVzYXp0STdZ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</cp:coreProperties>
</file>